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823" w:rsidRPr="00D65823" w:rsidRDefault="00D65823" w:rsidP="00D65823">
      <w:pPr>
        <w:shd w:val="clear" w:color="auto" w:fill="FFFFFF"/>
        <w:spacing w:after="0" w:line="240" w:lineRule="auto"/>
        <w:ind w:left="-15"/>
        <w:textAlignment w:val="baseline"/>
        <w:outlineLvl w:val="0"/>
        <w:rPr>
          <w:rFonts w:ascii="Georgia" w:eastAsia="Times New Roman" w:hAnsi="Georgia" w:cs="Arial"/>
          <w:color w:val="333333"/>
          <w:kern w:val="36"/>
          <w:sz w:val="36"/>
          <w:szCs w:val="36"/>
          <w:lang w:eastAsia="en-AU"/>
        </w:rPr>
      </w:pPr>
      <w:bookmarkStart w:id="0" w:name="_GoBack"/>
      <w:bookmarkEnd w:id="0"/>
      <w:r w:rsidRPr="00D65823">
        <w:rPr>
          <w:rFonts w:ascii="Georgia" w:eastAsia="Times New Roman" w:hAnsi="Georgia" w:cs="Arial"/>
          <w:color w:val="333333"/>
          <w:kern w:val="36"/>
          <w:sz w:val="36"/>
          <w:szCs w:val="36"/>
          <w:lang w:eastAsia="en-AU"/>
        </w:rPr>
        <w:t>The Land online</w:t>
      </w:r>
    </w:p>
    <w:p w:rsidR="00D65823" w:rsidRPr="00D65823" w:rsidRDefault="00D65823" w:rsidP="00D65823">
      <w:pPr>
        <w:shd w:val="clear" w:color="auto" w:fill="FFFFFF"/>
        <w:spacing w:after="0" w:line="240" w:lineRule="auto"/>
        <w:ind w:left="-15"/>
        <w:textAlignment w:val="baseline"/>
        <w:outlineLvl w:val="0"/>
        <w:rPr>
          <w:rFonts w:ascii="Georgia" w:eastAsia="Times New Roman" w:hAnsi="Georgia" w:cs="Arial"/>
          <w:color w:val="333333"/>
          <w:kern w:val="36"/>
          <w:sz w:val="32"/>
          <w:szCs w:val="32"/>
          <w:lang w:eastAsia="en-AU"/>
        </w:rPr>
      </w:pPr>
    </w:p>
    <w:p w:rsidR="00D65823" w:rsidRPr="00D65823" w:rsidRDefault="00D65823" w:rsidP="00D65823">
      <w:pPr>
        <w:shd w:val="clear" w:color="auto" w:fill="FFFFFF"/>
        <w:spacing w:after="0" w:line="240" w:lineRule="auto"/>
        <w:ind w:left="-15"/>
        <w:textAlignment w:val="baseline"/>
        <w:outlineLvl w:val="0"/>
        <w:rPr>
          <w:rFonts w:ascii="Georgia" w:eastAsia="Times New Roman" w:hAnsi="Georgia" w:cs="Arial"/>
          <w:color w:val="333333"/>
          <w:kern w:val="36"/>
          <w:sz w:val="50"/>
          <w:szCs w:val="50"/>
          <w:lang w:eastAsia="en-AU"/>
        </w:rPr>
      </w:pPr>
      <w:r w:rsidRPr="00D65823">
        <w:rPr>
          <w:rFonts w:ascii="Georgia" w:eastAsia="Times New Roman" w:hAnsi="Georgia" w:cs="Arial"/>
          <w:color w:val="333333"/>
          <w:kern w:val="36"/>
          <w:sz w:val="50"/>
          <w:szCs w:val="50"/>
          <w:lang w:eastAsia="en-AU"/>
        </w:rPr>
        <w:t xml:space="preserve">Big </w:t>
      </w:r>
      <w:proofErr w:type="spellStart"/>
      <w:proofErr w:type="gramStart"/>
      <w:r w:rsidRPr="00D65823">
        <w:rPr>
          <w:rFonts w:ascii="Georgia" w:eastAsia="Times New Roman" w:hAnsi="Georgia" w:cs="Arial"/>
          <w:color w:val="333333"/>
          <w:kern w:val="36"/>
          <w:sz w:val="50"/>
          <w:szCs w:val="50"/>
          <w:lang w:eastAsia="en-AU"/>
        </w:rPr>
        <w:t>ag</w:t>
      </w:r>
      <w:proofErr w:type="spellEnd"/>
      <w:proofErr w:type="gramEnd"/>
      <w:r w:rsidRPr="00D65823">
        <w:rPr>
          <w:rFonts w:ascii="Georgia" w:eastAsia="Times New Roman" w:hAnsi="Georgia" w:cs="Arial"/>
          <w:color w:val="333333"/>
          <w:kern w:val="36"/>
          <w:sz w:val="50"/>
          <w:szCs w:val="50"/>
          <w:lang w:eastAsia="en-AU"/>
        </w:rPr>
        <w:t xml:space="preserve"> holdings for sale</w:t>
      </w:r>
    </w:p>
    <w:p w:rsidR="00D65823" w:rsidRPr="00D65823" w:rsidRDefault="00D65823" w:rsidP="00D65823">
      <w:pPr>
        <w:shd w:val="clear" w:color="auto" w:fill="FFFFFF"/>
        <w:spacing w:after="0" w:line="285" w:lineRule="atLeast"/>
        <w:textAlignment w:val="baseline"/>
        <w:rPr>
          <w:rFonts w:ascii="Arial" w:eastAsia="Times New Roman" w:hAnsi="Arial" w:cs="Arial"/>
          <w:color w:val="333333"/>
          <w:sz w:val="20"/>
          <w:szCs w:val="20"/>
          <w:lang w:eastAsia="en-AU"/>
        </w:rPr>
      </w:pPr>
      <w:r>
        <w:rPr>
          <w:rFonts w:ascii="Arial" w:eastAsia="Times New Roman" w:hAnsi="Arial" w:cs="Arial"/>
          <w:noProof/>
          <w:color w:val="01538F"/>
          <w:sz w:val="21"/>
          <w:szCs w:val="21"/>
          <w:bdr w:val="none" w:sz="0" w:space="0" w:color="auto" w:frame="1"/>
          <w:lang w:eastAsia="en-AU"/>
        </w:rPr>
        <w:drawing>
          <wp:inline distT="0" distB="0" distL="0" distR="0">
            <wp:extent cx="11430" cy="11430"/>
            <wp:effectExtent l="0" t="0" r="0" b="0"/>
            <wp:docPr id="3" name="Picture 3" descr="Print">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nt">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 cy="11430"/>
                    </a:xfrm>
                    <a:prstGeom prst="rect">
                      <a:avLst/>
                    </a:prstGeom>
                    <a:noFill/>
                    <a:ln>
                      <a:noFill/>
                    </a:ln>
                  </pic:spPr>
                </pic:pic>
              </a:graphicData>
            </a:graphic>
          </wp:inline>
        </w:drawing>
      </w:r>
      <w:r w:rsidRPr="00D65823">
        <w:rPr>
          <w:rFonts w:ascii="Arial" w:eastAsia="Times New Roman" w:hAnsi="Arial" w:cs="Arial"/>
          <w:color w:val="333333"/>
          <w:sz w:val="20"/>
          <w:szCs w:val="20"/>
          <w:lang w:eastAsia="en-AU"/>
        </w:rPr>
        <w:t>11 Mar, 2013 09:57 AM</w:t>
      </w:r>
    </w:p>
    <w:p w:rsidR="00D65823" w:rsidRDefault="00D65823" w:rsidP="00D65823">
      <w:pPr>
        <w:shd w:val="clear" w:color="auto" w:fill="FFFFFF"/>
        <w:spacing w:after="0" w:line="285" w:lineRule="atLeast"/>
        <w:textAlignment w:val="baseline"/>
        <w:rPr>
          <w:rFonts w:ascii="Arial" w:eastAsia="Times New Roman" w:hAnsi="Arial" w:cs="Arial"/>
          <w:color w:val="333333"/>
          <w:sz w:val="21"/>
          <w:szCs w:val="21"/>
          <w:lang w:eastAsia="en-AU"/>
        </w:rPr>
      </w:pPr>
    </w:p>
    <w:p w:rsidR="00D65823" w:rsidRPr="00D65823" w:rsidRDefault="00D65823" w:rsidP="00D65823">
      <w:pPr>
        <w:shd w:val="clear" w:color="auto" w:fill="FFFFFF"/>
        <w:spacing w:after="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A MAJOR recapitalisation of Australia's northern agricultural properties is expected this year as too many impaired assets hold back much-needed capital for viable operations.</w:t>
      </w:r>
    </w:p>
    <w:p w:rsidR="00D65823" w:rsidRPr="00D65823" w:rsidRDefault="00D65823" w:rsidP="00D65823">
      <w:pPr>
        <w:shd w:val="clear" w:color="auto" w:fill="FFFFFF"/>
        <w:spacing w:after="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 xml:space="preserve">Australia and New Zealand Banking Group put the 480,000-hectare </w:t>
      </w:r>
      <w:proofErr w:type="spellStart"/>
      <w:r w:rsidRPr="00D65823">
        <w:rPr>
          <w:rFonts w:ascii="Arial" w:eastAsia="Times New Roman" w:hAnsi="Arial" w:cs="Arial"/>
          <w:color w:val="333333"/>
          <w:lang w:eastAsia="en-AU"/>
        </w:rPr>
        <w:t>Maryfield</w:t>
      </w:r>
      <w:proofErr w:type="spellEnd"/>
      <w:r w:rsidRPr="00D65823">
        <w:rPr>
          <w:rFonts w:ascii="Arial" w:eastAsia="Times New Roman" w:hAnsi="Arial" w:cs="Arial"/>
          <w:color w:val="333333"/>
          <w:lang w:eastAsia="en-AU"/>
        </w:rPr>
        <w:t xml:space="preserve"> and Mountain Valley stations in the Northern Territory into receivership last year and National Australia Bank has followed suit, placing the 280,000 hectare Killarney Station run by </w:t>
      </w:r>
      <w:proofErr w:type="spellStart"/>
      <w:r w:rsidRPr="00D65823">
        <w:rPr>
          <w:rFonts w:ascii="Arial" w:eastAsia="Times New Roman" w:hAnsi="Arial" w:cs="Arial"/>
          <w:color w:val="333333"/>
          <w:lang w:eastAsia="en-AU"/>
        </w:rPr>
        <w:t>Wallco</w:t>
      </w:r>
      <w:proofErr w:type="spellEnd"/>
      <w:r w:rsidRPr="00D65823">
        <w:rPr>
          <w:rFonts w:ascii="Arial" w:eastAsia="Times New Roman" w:hAnsi="Arial" w:cs="Arial"/>
          <w:color w:val="333333"/>
          <w:lang w:eastAsia="en-AU"/>
        </w:rPr>
        <w:t xml:space="preserve"> Pastoral in receivership, reports </w:t>
      </w:r>
      <w:hyperlink r:id="rId7" w:history="1">
        <w:r w:rsidRPr="00D65823">
          <w:rPr>
            <w:rFonts w:ascii="Arial" w:eastAsia="Times New Roman" w:hAnsi="Arial" w:cs="Arial"/>
            <w:i/>
            <w:iCs/>
            <w:color w:val="01538F"/>
            <w:bdr w:val="none" w:sz="0" w:space="0" w:color="auto" w:frame="1"/>
            <w:lang w:eastAsia="en-AU"/>
          </w:rPr>
          <w:t>The Australian Financial Review</w:t>
        </w:r>
      </w:hyperlink>
      <w:r w:rsidRPr="00D65823">
        <w:rPr>
          <w:rFonts w:ascii="Arial" w:eastAsia="Times New Roman" w:hAnsi="Arial" w:cs="Arial"/>
          <w:color w:val="333333"/>
          <w:lang w:eastAsia="en-AU"/>
        </w:rPr>
        <w:t>.</w:t>
      </w:r>
    </w:p>
    <w:p w:rsidR="00D65823" w:rsidRPr="00D65823" w:rsidRDefault="00D65823" w:rsidP="00D65823">
      <w:pPr>
        <w:shd w:val="clear" w:color="auto" w:fill="FFFFFF"/>
        <w:spacing w:after="15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 xml:space="preserve">The two properties represent more than $50 million in debt. The serviceability of the debt collapsed and it is expected the stations will be put up for sale. The story is replicated at many other northern Australia farm operations, from cattle to cropping and </w:t>
      </w:r>
      <w:r w:rsidRPr="00D65823">
        <w:rPr>
          <w:rFonts w:ascii="Arial" w:eastAsia="Times New Roman" w:hAnsi="Arial" w:cs="Arial"/>
          <w:color w:val="333333"/>
          <w:lang w:eastAsia="en-AU"/>
        </w:rPr>
        <w:softHyphen/>
        <w:t>horticulture.</w:t>
      </w:r>
    </w:p>
    <w:p w:rsidR="00D65823" w:rsidRPr="00D65823" w:rsidRDefault="00D65823" w:rsidP="00D65823">
      <w:pPr>
        <w:shd w:val="clear" w:color="auto" w:fill="FFFFFF"/>
        <w:spacing w:after="15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"Many of these farming companies are heading towards a cliff," PPB head of agribusiness Greg Quinn said.</w:t>
      </w:r>
    </w:p>
    <w:p w:rsidR="00D65823" w:rsidRPr="00D65823" w:rsidRDefault="00D65823" w:rsidP="00D65823">
      <w:pPr>
        <w:shd w:val="clear" w:color="auto" w:fill="FFFFFF"/>
        <w:spacing w:after="15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"There needs to be significant re-engineering and recapitalisation and it will come in three ways. The first is deleveraging, the second is new partnership equity and the third is better succession planning.</w:t>
      </w:r>
    </w:p>
    <w:p w:rsidR="00D65823" w:rsidRPr="00D65823" w:rsidRDefault="00D65823" w:rsidP="00D65823">
      <w:pPr>
        <w:shd w:val="clear" w:color="auto" w:fill="FFFFFF"/>
        <w:spacing w:after="15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"There are many good operators who need equity for the next round of growth but it is tied up in places that are overleveraged."</w:t>
      </w:r>
    </w:p>
    <w:p w:rsidR="00D65823" w:rsidRPr="00D65823" w:rsidRDefault="00D65823" w:rsidP="00D65823">
      <w:pPr>
        <w:shd w:val="clear" w:color="auto" w:fill="FFFFFF"/>
        <w:spacing w:after="15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He expected only a small percentage would be unable to repay any interest but said there was a much higher percentage that could cover only 60 per cent to 70 per cent of repayments.</w:t>
      </w:r>
    </w:p>
    <w:p w:rsidR="00D65823" w:rsidRPr="00D65823" w:rsidRDefault="00D65823" w:rsidP="00D65823">
      <w:pPr>
        <w:shd w:val="clear" w:color="auto" w:fill="FFFFFF"/>
        <w:spacing w:after="15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Unlike the residential housing sector, there is very little delinquency data on rural property loans, yet a massive amount of capital is tied up in them.</w:t>
      </w:r>
    </w:p>
    <w:p w:rsidR="00D65823" w:rsidRPr="00D65823" w:rsidRDefault="00D65823" w:rsidP="00D65823">
      <w:pPr>
        <w:shd w:val="clear" w:color="auto" w:fill="FFFFFF"/>
        <w:spacing w:after="15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According to the last Queensland rural debt survey, borrowings to agribusinesses in the state had increased by $3.24 billion, or 27 per cent, in the two years to 2010 to a dizzying $15 billion.</w:t>
      </w:r>
    </w:p>
    <w:p w:rsidR="00D65823" w:rsidRPr="00D65823" w:rsidRDefault="00D65823" w:rsidP="00D65823">
      <w:pPr>
        <w:shd w:val="clear" w:color="auto" w:fill="FFFFFF"/>
        <w:spacing w:after="15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In the beef sector it was up 36 per cent to $8.24 billion. More than 17 per cent of that debt was B+ rated or less. The next survey is due in July.</w:t>
      </w:r>
    </w:p>
    <w:p w:rsidR="00D65823" w:rsidRPr="00D65823" w:rsidRDefault="00D65823" w:rsidP="00D65823">
      <w:pPr>
        <w:shd w:val="clear" w:color="auto" w:fill="FFFFFF"/>
        <w:spacing w:after="15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Commonwealth Bank has $14 billion worth of loans in the agricultural space that are rated outside the BBB rating.</w:t>
      </w:r>
    </w:p>
    <w:p w:rsidR="00D65823" w:rsidRPr="00D65823" w:rsidRDefault="00D65823" w:rsidP="00D65823">
      <w:pPr>
        <w:shd w:val="clear" w:color="auto" w:fill="FFFFFF"/>
        <w:spacing w:after="15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Several agents have spoken of talks with banks about the prospect of more properties being placed in receivership.</w:t>
      </w:r>
    </w:p>
    <w:p w:rsidR="00D65823" w:rsidRPr="00D65823" w:rsidRDefault="00D65823" w:rsidP="00D65823">
      <w:pPr>
        <w:shd w:val="clear" w:color="auto" w:fill="FFFFFF"/>
        <w:spacing w:after="150" w:line="285" w:lineRule="atLeast"/>
        <w:textAlignment w:val="baseline"/>
        <w:rPr>
          <w:rFonts w:ascii="Arial" w:eastAsia="Times New Roman" w:hAnsi="Arial" w:cs="Arial"/>
          <w:color w:val="333333"/>
          <w:lang w:eastAsia="en-AU"/>
        </w:rPr>
      </w:pPr>
      <w:proofErr w:type="spellStart"/>
      <w:r w:rsidRPr="00D65823">
        <w:rPr>
          <w:rFonts w:ascii="Arial" w:eastAsia="Times New Roman" w:hAnsi="Arial" w:cs="Arial"/>
          <w:color w:val="333333"/>
          <w:lang w:eastAsia="en-AU"/>
        </w:rPr>
        <w:t>Rabobank</w:t>
      </w:r>
      <w:proofErr w:type="spellEnd"/>
      <w:r w:rsidRPr="00D65823">
        <w:rPr>
          <w:rFonts w:ascii="Arial" w:eastAsia="Times New Roman" w:hAnsi="Arial" w:cs="Arial"/>
          <w:color w:val="333333"/>
          <w:lang w:eastAsia="en-AU"/>
        </w:rPr>
        <w:t xml:space="preserve"> appointed receivers Ferrier Hodgson to the </w:t>
      </w:r>
      <w:proofErr w:type="spellStart"/>
      <w:r w:rsidRPr="00D65823">
        <w:rPr>
          <w:rFonts w:ascii="Arial" w:eastAsia="Times New Roman" w:hAnsi="Arial" w:cs="Arial"/>
          <w:color w:val="333333"/>
          <w:lang w:eastAsia="en-AU"/>
        </w:rPr>
        <w:t>McCamley</w:t>
      </w:r>
      <w:proofErr w:type="spellEnd"/>
      <w:r w:rsidRPr="00D65823">
        <w:rPr>
          <w:rFonts w:ascii="Arial" w:eastAsia="Times New Roman" w:hAnsi="Arial" w:cs="Arial"/>
          <w:color w:val="333333"/>
          <w:lang w:eastAsia="en-AU"/>
        </w:rPr>
        <w:t xml:space="preserve"> family's </w:t>
      </w:r>
      <w:proofErr w:type="spellStart"/>
      <w:r w:rsidRPr="00D65823">
        <w:rPr>
          <w:rFonts w:ascii="Arial" w:eastAsia="Times New Roman" w:hAnsi="Arial" w:cs="Arial"/>
          <w:color w:val="333333"/>
          <w:lang w:eastAsia="en-AU"/>
        </w:rPr>
        <w:t>Kaiuroo</w:t>
      </w:r>
      <w:proofErr w:type="spellEnd"/>
      <w:r w:rsidRPr="00D65823">
        <w:rPr>
          <w:rFonts w:ascii="Arial" w:eastAsia="Times New Roman" w:hAnsi="Arial" w:cs="Arial"/>
          <w:color w:val="333333"/>
          <w:lang w:eastAsia="en-AU"/>
        </w:rPr>
        <w:t xml:space="preserve"> developments in north Queensland last month.</w:t>
      </w:r>
    </w:p>
    <w:p w:rsidR="00D65823" w:rsidRPr="00D65823" w:rsidRDefault="00D65823" w:rsidP="00D65823">
      <w:pPr>
        <w:shd w:val="clear" w:color="auto" w:fill="FFFFFF"/>
        <w:spacing w:after="15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Banks have been systematically moving through their exposures since the cattle station market collapsed in 2008. However the amounts being recovered are only a fraction of the debt owed.</w:t>
      </w:r>
    </w:p>
    <w:p w:rsidR="00003B93" w:rsidRPr="00D65823" w:rsidRDefault="00D65823" w:rsidP="00D65823">
      <w:pPr>
        <w:shd w:val="clear" w:color="auto" w:fill="FFFFFF"/>
        <w:spacing w:after="150" w:line="285" w:lineRule="atLeast"/>
        <w:textAlignment w:val="baseline"/>
        <w:rPr>
          <w:rFonts w:ascii="Arial" w:eastAsia="Times New Roman" w:hAnsi="Arial" w:cs="Arial"/>
          <w:color w:val="333333"/>
          <w:lang w:eastAsia="en-AU"/>
        </w:rPr>
      </w:pPr>
      <w:r w:rsidRPr="00D65823">
        <w:rPr>
          <w:rFonts w:ascii="Arial" w:eastAsia="Times New Roman" w:hAnsi="Arial" w:cs="Arial"/>
          <w:color w:val="333333"/>
          <w:lang w:eastAsia="en-AU"/>
        </w:rPr>
        <w:t xml:space="preserve">The 44,000-hectare pastoral holding St </w:t>
      </w:r>
      <w:proofErr w:type="spellStart"/>
      <w:r w:rsidRPr="00D65823">
        <w:rPr>
          <w:rFonts w:ascii="Arial" w:eastAsia="Times New Roman" w:hAnsi="Arial" w:cs="Arial"/>
          <w:color w:val="333333"/>
          <w:lang w:eastAsia="en-AU"/>
        </w:rPr>
        <w:t>Ronans</w:t>
      </w:r>
      <w:proofErr w:type="spellEnd"/>
      <w:r w:rsidRPr="00D65823">
        <w:rPr>
          <w:rFonts w:ascii="Arial" w:eastAsia="Times New Roman" w:hAnsi="Arial" w:cs="Arial"/>
          <w:color w:val="333333"/>
          <w:lang w:eastAsia="en-AU"/>
        </w:rPr>
        <w:t>, between Mt Garnet and Mt Surprise, which was placed in receivership, sold last year for $4 million. It was expected to fetch $5 million.</w:t>
      </w:r>
    </w:p>
    <w:sectPr w:rsidR="00003B93" w:rsidRPr="00D65823" w:rsidSect="00D65823">
      <w:pgSz w:w="11906" w:h="16838"/>
      <w:pgMar w:top="1134" w:right="1440"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823"/>
    <w:rsid w:val="00003B93"/>
    <w:rsid w:val="00742D9D"/>
    <w:rsid w:val="00D65823"/>
    <w:rsid w:val="00FF34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65823"/>
    <w:pPr>
      <w:spacing w:before="100" w:beforeAutospacing="1" w:after="100" w:afterAutospacing="1" w:line="240" w:lineRule="auto"/>
      <w:outlineLvl w:val="0"/>
    </w:pPr>
    <w:rPr>
      <w:rFonts w:eastAsia="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5823"/>
    <w:rPr>
      <w:rFonts w:eastAsia="Times New Roman" w:cs="Times New Roman"/>
      <w:b/>
      <w:bCs/>
      <w:kern w:val="36"/>
      <w:sz w:val="48"/>
      <w:szCs w:val="48"/>
      <w:lang w:eastAsia="en-AU"/>
    </w:rPr>
  </w:style>
  <w:style w:type="character" w:styleId="Hyperlink">
    <w:name w:val="Hyperlink"/>
    <w:basedOn w:val="DefaultParagraphFont"/>
    <w:uiPriority w:val="99"/>
    <w:semiHidden/>
    <w:unhideWhenUsed/>
    <w:rsid w:val="00D65823"/>
    <w:rPr>
      <w:color w:val="0000FF"/>
      <w:u w:val="single"/>
    </w:rPr>
  </w:style>
  <w:style w:type="paragraph" w:styleId="NormalWeb">
    <w:name w:val="Normal (Web)"/>
    <w:basedOn w:val="Normal"/>
    <w:uiPriority w:val="99"/>
    <w:semiHidden/>
    <w:unhideWhenUsed/>
    <w:rsid w:val="00D65823"/>
    <w:pPr>
      <w:spacing w:before="100" w:beforeAutospacing="1" w:after="100" w:afterAutospacing="1" w:line="240" w:lineRule="auto"/>
    </w:pPr>
    <w:rPr>
      <w:rFonts w:eastAsia="Times New Roman" w:cs="Times New Roman"/>
      <w:sz w:val="24"/>
      <w:szCs w:val="24"/>
      <w:lang w:eastAsia="en-AU"/>
    </w:rPr>
  </w:style>
  <w:style w:type="character" w:customStyle="1" w:styleId="apple-converted-space">
    <w:name w:val="apple-converted-space"/>
    <w:basedOn w:val="DefaultParagraphFont"/>
    <w:rsid w:val="00D65823"/>
  </w:style>
  <w:style w:type="paragraph" w:styleId="BalloonText">
    <w:name w:val="Balloon Text"/>
    <w:basedOn w:val="Normal"/>
    <w:link w:val="BalloonTextChar"/>
    <w:uiPriority w:val="99"/>
    <w:semiHidden/>
    <w:unhideWhenUsed/>
    <w:rsid w:val="00D658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8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65823"/>
    <w:pPr>
      <w:spacing w:before="100" w:beforeAutospacing="1" w:after="100" w:afterAutospacing="1" w:line="240" w:lineRule="auto"/>
      <w:outlineLvl w:val="0"/>
    </w:pPr>
    <w:rPr>
      <w:rFonts w:eastAsia="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5823"/>
    <w:rPr>
      <w:rFonts w:eastAsia="Times New Roman" w:cs="Times New Roman"/>
      <w:b/>
      <w:bCs/>
      <w:kern w:val="36"/>
      <w:sz w:val="48"/>
      <w:szCs w:val="48"/>
      <w:lang w:eastAsia="en-AU"/>
    </w:rPr>
  </w:style>
  <w:style w:type="character" w:styleId="Hyperlink">
    <w:name w:val="Hyperlink"/>
    <w:basedOn w:val="DefaultParagraphFont"/>
    <w:uiPriority w:val="99"/>
    <w:semiHidden/>
    <w:unhideWhenUsed/>
    <w:rsid w:val="00D65823"/>
    <w:rPr>
      <w:color w:val="0000FF"/>
      <w:u w:val="single"/>
    </w:rPr>
  </w:style>
  <w:style w:type="paragraph" w:styleId="NormalWeb">
    <w:name w:val="Normal (Web)"/>
    <w:basedOn w:val="Normal"/>
    <w:uiPriority w:val="99"/>
    <w:semiHidden/>
    <w:unhideWhenUsed/>
    <w:rsid w:val="00D65823"/>
    <w:pPr>
      <w:spacing w:before="100" w:beforeAutospacing="1" w:after="100" w:afterAutospacing="1" w:line="240" w:lineRule="auto"/>
    </w:pPr>
    <w:rPr>
      <w:rFonts w:eastAsia="Times New Roman" w:cs="Times New Roman"/>
      <w:sz w:val="24"/>
      <w:szCs w:val="24"/>
      <w:lang w:eastAsia="en-AU"/>
    </w:rPr>
  </w:style>
  <w:style w:type="character" w:customStyle="1" w:styleId="apple-converted-space">
    <w:name w:val="apple-converted-space"/>
    <w:basedOn w:val="DefaultParagraphFont"/>
    <w:rsid w:val="00D65823"/>
  </w:style>
  <w:style w:type="paragraph" w:styleId="BalloonText">
    <w:name w:val="Balloon Text"/>
    <w:basedOn w:val="Normal"/>
    <w:link w:val="BalloonTextChar"/>
    <w:uiPriority w:val="99"/>
    <w:semiHidden/>
    <w:unhideWhenUsed/>
    <w:rsid w:val="00D658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8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3202484">
      <w:bodyDiv w:val="1"/>
      <w:marLeft w:val="0"/>
      <w:marRight w:val="0"/>
      <w:marTop w:val="0"/>
      <w:marBottom w:val="0"/>
      <w:divBdr>
        <w:top w:val="none" w:sz="0" w:space="0" w:color="auto"/>
        <w:left w:val="none" w:sz="0" w:space="0" w:color="auto"/>
        <w:bottom w:val="none" w:sz="0" w:space="0" w:color="auto"/>
        <w:right w:val="none" w:sz="0" w:space="0" w:color="auto"/>
      </w:divBdr>
      <w:divsChild>
        <w:div w:id="998458373">
          <w:marLeft w:val="0"/>
          <w:marRight w:val="0"/>
          <w:marTop w:val="0"/>
          <w:marBottom w:val="0"/>
          <w:divBdr>
            <w:top w:val="none" w:sz="0" w:space="0" w:color="auto"/>
            <w:left w:val="none" w:sz="0" w:space="0" w:color="auto"/>
            <w:bottom w:val="none" w:sz="0" w:space="0" w:color="auto"/>
            <w:right w:val="none" w:sz="0" w:space="0" w:color="auto"/>
          </w:divBdr>
        </w:div>
        <w:div w:id="1947228330">
          <w:marLeft w:val="0"/>
          <w:marRight w:val="0"/>
          <w:marTop w:val="0"/>
          <w:marBottom w:val="0"/>
          <w:divBdr>
            <w:top w:val="none" w:sz="0" w:space="0" w:color="auto"/>
            <w:left w:val="none" w:sz="0" w:space="0" w:color="auto"/>
            <w:bottom w:val="none" w:sz="0" w:space="0" w:color="auto"/>
            <w:right w:val="none" w:sz="0" w:space="0" w:color="auto"/>
          </w:divBdr>
          <w:divsChild>
            <w:div w:id="1232621750">
              <w:marLeft w:val="0"/>
              <w:marRight w:val="0"/>
              <w:marTop w:val="0"/>
              <w:marBottom w:val="0"/>
              <w:divBdr>
                <w:top w:val="none" w:sz="0" w:space="0" w:color="auto"/>
                <w:left w:val="none" w:sz="0" w:space="0" w:color="auto"/>
                <w:bottom w:val="none" w:sz="0" w:space="0" w:color="auto"/>
                <w:right w:val="none" w:sz="0" w:space="0" w:color="auto"/>
              </w:divBdr>
              <w:divsChild>
                <w:div w:id="445278037">
                  <w:marLeft w:val="0"/>
                  <w:marRight w:val="0"/>
                  <w:marTop w:val="0"/>
                  <w:marBottom w:val="0"/>
                  <w:divBdr>
                    <w:top w:val="none" w:sz="0" w:space="0" w:color="auto"/>
                    <w:left w:val="none" w:sz="0" w:space="0" w:color="auto"/>
                    <w:bottom w:val="none" w:sz="0" w:space="0" w:color="auto"/>
                    <w:right w:val="none" w:sz="0" w:space="0" w:color="auto"/>
                  </w:divBdr>
                </w:div>
                <w:div w:id="1108430683">
                  <w:marLeft w:val="0"/>
                  <w:marRight w:val="0"/>
                  <w:marTop w:val="0"/>
                  <w:marBottom w:val="0"/>
                  <w:divBdr>
                    <w:top w:val="none" w:sz="0" w:space="0" w:color="auto"/>
                    <w:left w:val="none" w:sz="0" w:space="0" w:color="auto"/>
                    <w:bottom w:val="none" w:sz="0" w:space="0" w:color="auto"/>
                    <w:right w:val="none" w:sz="0" w:space="0" w:color="auto"/>
                  </w:divBdr>
                </w:div>
                <w:div w:id="2127651245">
                  <w:marLeft w:val="0"/>
                  <w:marRight w:val="0"/>
                  <w:marTop w:val="0"/>
                  <w:marBottom w:val="0"/>
                  <w:divBdr>
                    <w:top w:val="none" w:sz="0" w:space="0" w:color="auto"/>
                    <w:left w:val="none" w:sz="0" w:space="0" w:color="auto"/>
                    <w:bottom w:val="none" w:sz="0" w:space="0" w:color="auto"/>
                    <w:right w:val="none" w:sz="0" w:space="0" w:color="auto"/>
                  </w:divBdr>
                </w:div>
              </w:divsChild>
            </w:div>
            <w:div w:id="112093848">
              <w:marLeft w:val="0"/>
              <w:marRight w:val="0"/>
              <w:marTop w:val="0"/>
              <w:marBottom w:val="0"/>
              <w:divBdr>
                <w:top w:val="none" w:sz="0" w:space="0" w:color="auto"/>
                <w:left w:val="none" w:sz="0" w:space="0" w:color="auto"/>
                <w:bottom w:val="none" w:sz="0" w:space="0" w:color="auto"/>
                <w:right w:val="none" w:sz="0" w:space="0" w:color="auto"/>
              </w:divBdr>
            </w:div>
          </w:divsChild>
        </w:div>
        <w:div w:id="1902979968">
          <w:marLeft w:val="0"/>
          <w:marRight w:val="0"/>
          <w:marTop w:val="0"/>
          <w:marBottom w:val="0"/>
          <w:divBdr>
            <w:top w:val="none" w:sz="0" w:space="0" w:color="auto"/>
            <w:left w:val="none" w:sz="0" w:space="0" w:color="auto"/>
            <w:bottom w:val="none" w:sz="0" w:space="0" w:color="auto"/>
            <w:right w:val="none" w:sz="0" w:space="0" w:color="auto"/>
          </w:divBdr>
          <w:divsChild>
            <w:div w:id="42935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fr.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www.theland.com.au/news/agriculture/agribusiness/general-news/big-ag-holdings-for-sale/2650079.aspx?storypage=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407</Words>
  <Characters>2320</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Hunt Partners</cp:lastModifiedBy>
  <cp:revision>2</cp:revision>
  <dcterms:created xsi:type="dcterms:W3CDTF">2013-04-12T02:24:00Z</dcterms:created>
  <dcterms:modified xsi:type="dcterms:W3CDTF">2013-04-12T02:24:00Z</dcterms:modified>
</cp:coreProperties>
</file>